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7A79" w14:textId="38844FE5" w:rsidR="003378A9" w:rsidRPr="007630CA" w:rsidRDefault="00D433FF" w:rsidP="00096218">
      <w:p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Rusijai užpuolus Ukrainą, verslas imasi padėti jai materialiai, moraliai ir kartu sprendžia iššūkius, susijusius su žaliavų </w:t>
      </w:r>
      <w:r w:rsidR="005C649A">
        <w:rPr>
          <w:rFonts w:ascii="Arial" w:hAnsi="Arial" w:cs="Arial"/>
          <w:sz w:val="20"/>
          <w:szCs w:val="20"/>
        </w:rPr>
        <w:t xml:space="preserve">ir prekių iš Ukrainos </w:t>
      </w:r>
      <w:r w:rsidRPr="007630CA">
        <w:rPr>
          <w:rFonts w:ascii="Arial" w:hAnsi="Arial" w:cs="Arial"/>
          <w:sz w:val="20"/>
          <w:szCs w:val="20"/>
        </w:rPr>
        <w:t xml:space="preserve">tiekimu, </w:t>
      </w:r>
      <w:r w:rsidR="005C649A">
        <w:rPr>
          <w:rFonts w:ascii="Arial" w:hAnsi="Arial" w:cs="Arial"/>
          <w:sz w:val="20"/>
          <w:szCs w:val="20"/>
        </w:rPr>
        <w:t>ten esančia</w:t>
      </w:r>
      <w:r w:rsidRPr="007630CA">
        <w:rPr>
          <w:rFonts w:ascii="Arial" w:hAnsi="Arial" w:cs="Arial"/>
          <w:sz w:val="20"/>
          <w:szCs w:val="20"/>
        </w:rPr>
        <w:t xml:space="preserve"> darbo jėga. Mūsų klientai – gamybos, statybos, maisto pramonės įmonės </w:t>
      </w:r>
      <w:r w:rsidR="005C649A">
        <w:rPr>
          <w:rFonts w:ascii="Arial" w:hAnsi="Arial" w:cs="Arial"/>
          <w:sz w:val="20"/>
          <w:szCs w:val="20"/>
        </w:rPr>
        <w:t xml:space="preserve">taip pat </w:t>
      </w:r>
      <w:r w:rsidRPr="007630CA">
        <w:rPr>
          <w:rFonts w:ascii="Arial" w:hAnsi="Arial" w:cs="Arial"/>
          <w:sz w:val="20"/>
          <w:szCs w:val="20"/>
        </w:rPr>
        <w:t xml:space="preserve">teiraujasi kaip nutraukti sutartis su rusiško kapitalo įmonėmis, o taip pat – ar karo sąlygos yra tos aplinkybės, kurios leistų sustabdyti ar keisti sutartinių įsipareigojimų vykdymą. Žemiau keli svarbiausi </w:t>
      </w:r>
      <w:r w:rsidR="0061494C" w:rsidRPr="007630CA">
        <w:rPr>
          <w:rFonts w:ascii="Arial" w:hAnsi="Arial" w:cs="Arial"/>
          <w:sz w:val="20"/>
          <w:szCs w:val="20"/>
        </w:rPr>
        <w:t>atsakymų į šiuos kl</w:t>
      </w:r>
      <w:r w:rsidR="005C649A">
        <w:rPr>
          <w:rFonts w:ascii="Arial" w:hAnsi="Arial" w:cs="Arial"/>
          <w:sz w:val="20"/>
          <w:szCs w:val="20"/>
        </w:rPr>
        <w:t>a</w:t>
      </w:r>
      <w:r w:rsidR="0061494C" w:rsidRPr="007630CA">
        <w:rPr>
          <w:rFonts w:ascii="Arial" w:hAnsi="Arial" w:cs="Arial"/>
          <w:sz w:val="20"/>
          <w:szCs w:val="20"/>
        </w:rPr>
        <w:t>usimus</w:t>
      </w:r>
      <w:r w:rsidR="00741693" w:rsidRPr="007630CA">
        <w:rPr>
          <w:rFonts w:ascii="Arial" w:hAnsi="Arial" w:cs="Arial"/>
          <w:sz w:val="20"/>
          <w:szCs w:val="20"/>
        </w:rPr>
        <w:t xml:space="preserve"> </w:t>
      </w:r>
      <w:r w:rsidRPr="007630CA">
        <w:rPr>
          <w:rFonts w:ascii="Arial" w:hAnsi="Arial" w:cs="Arial"/>
          <w:sz w:val="20"/>
          <w:szCs w:val="20"/>
        </w:rPr>
        <w:t>a</w:t>
      </w:r>
      <w:r w:rsidR="003378A9" w:rsidRPr="007630CA">
        <w:rPr>
          <w:rFonts w:ascii="Arial" w:hAnsi="Arial" w:cs="Arial"/>
          <w:sz w:val="20"/>
          <w:szCs w:val="20"/>
        </w:rPr>
        <w:t>spektai:</w:t>
      </w:r>
    </w:p>
    <w:p w14:paraId="0939D8E1" w14:textId="77777777" w:rsidR="003378A9" w:rsidRPr="007630CA" w:rsidRDefault="003378A9" w:rsidP="00096218">
      <w:pPr>
        <w:jc w:val="both"/>
        <w:rPr>
          <w:rFonts w:ascii="Arial" w:hAnsi="Arial" w:cs="Arial"/>
          <w:sz w:val="20"/>
          <w:szCs w:val="20"/>
        </w:rPr>
      </w:pPr>
    </w:p>
    <w:p w14:paraId="4572C068" w14:textId="46F9C4A1" w:rsidR="004C275D" w:rsidRPr="007630CA" w:rsidRDefault="003378A9" w:rsidP="000962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>Sutarčių nutraukimas su rusiško kapitalo įmonėmis turi vykti įprasta</w:t>
      </w:r>
      <w:r w:rsidR="008918C9" w:rsidRPr="007630CA">
        <w:rPr>
          <w:rFonts w:ascii="Arial" w:hAnsi="Arial" w:cs="Arial"/>
          <w:sz w:val="20"/>
          <w:szCs w:val="20"/>
        </w:rPr>
        <w:t xml:space="preserve">, sutartyje </w:t>
      </w:r>
      <w:r w:rsidR="0061494C" w:rsidRPr="007630CA">
        <w:rPr>
          <w:rFonts w:ascii="Arial" w:hAnsi="Arial" w:cs="Arial"/>
          <w:sz w:val="20"/>
          <w:szCs w:val="20"/>
        </w:rPr>
        <w:t xml:space="preserve">(arba Lietuvos ciiliniame kodekse, jei taikoma Lietuvos teisė) </w:t>
      </w:r>
      <w:r w:rsidR="008918C9" w:rsidRPr="007630CA">
        <w:rPr>
          <w:rFonts w:ascii="Arial" w:hAnsi="Arial" w:cs="Arial"/>
          <w:sz w:val="20"/>
          <w:szCs w:val="20"/>
        </w:rPr>
        <w:t>nustatyta</w:t>
      </w:r>
      <w:r w:rsidRPr="007630CA">
        <w:rPr>
          <w:rFonts w:ascii="Arial" w:hAnsi="Arial" w:cs="Arial"/>
          <w:sz w:val="20"/>
          <w:szCs w:val="20"/>
        </w:rPr>
        <w:t xml:space="preserve"> tvarka, nebent tokioms įmonėms ES mastu yra taikomos sankcijos.</w:t>
      </w:r>
      <w:r w:rsidR="008918C9" w:rsidRPr="007630CA">
        <w:rPr>
          <w:rFonts w:ascii="Arial" w:hAnsi="Arial" w:cs="Arial"/>
          <w:sz w:val="20"/>
          <w:szCs w:val="20"/>
        </w:rPr>
        <w:t xml:space="preserve"> Sankcijų ir sankcionuojamų fizinių ir juridinių asmenų sąrašą galima pasitikrinti čia</w:t>
      </w:r>
      <w:r w:rsidR="002B17BF" w:rsidRPr="007630CA">
        <w:rPr>
          <w:rFonts w:ascii="Arial" w:hAnsi="Arial" w:cs="Arial"/>
          <w:sz w:val="20"/>
          <w:szCs w:val="20"/>
        </w:rPr>
        <w:t xml:space="preserve"> </w:t>
      </w:r>
    </w:p>
    <w:p w14:paraId="2DB5535E" w14:textId="0268A319" w:rsidR="004C275D" w:rsidRPr="007630CA" w:rsidRDefault="009B6F9D" w:rsidP="00096218">
      <w:pPr>
        <w:pStyle w:val="ListParagraph"/>
        <w:jc w:val="both"/>
        <w:rPr>
          <w:rFonts w:ascii="Arial" w:hAnsi="Arial" w:cs="Arial"/>
          <w:sz w:val="20"/>
          <w:szCs w:val="20"/>
        </w:rPr>
      </w:pPr>
      <w:hyperlink r:id="rId6" w:history="1">
        <w:r w:rsidR="004C275D" w:rsidRPr="007630CA">
          <w:rPr>
            <w:rStyle w:val="Hyperlink"/>
            <w:rFonts w:ascii="Arial" w:hAnsi="Arial" w:cs="Arial"/>
            <w:sz w:val="20"/>
            <w:szCs w:val="20"/>
          </w:rPr>
          <w:t>https://www.consilium.europa.eu/lt/policies/sanctions/restrictive-measures-ukraine-crisis/</w:t>
        </w:r>
      </w:hyperlink>
    </w:p>
    <w:p w14:paraId="51A99038" w14:textId="77777777" w:rsidR="005C649A" w:rsidRDefault="005C649A" w:rsidP="007630C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75D50C3" w14:textId="4B4AA701" w:rsidR="007630CA" w:rsidRPr="007630CA" w:rsidRDefault="007630CA" w:rsidP="007630CA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>Sankcijų taikymas gali būti pripažįstamas nenugalimos jėgos (</w:t>
      </w:r>
      <w:r w:rsidRPr="005C649A">
        <w:rPr>
          <w:rFonts w:ascii="Arial" w:hAnsi="Arial" w:cs="Arial"/>
          <w:i/>
          <w:iCs/>
          <w:sz w:val="20"/>
          <w:szCs w:val="20"/>
        </w:rPr>
        <w:t>force majeure</w:t>
      </w:r>
      <w:r w:rsidRPr="007630CA">
        <w:rPr>
          <w:rFonts w:ascii="Arial" w:hAnsi="Arial" w:cs="Arial"/>
          <w:sz w:val="20"/>
          <w:szCs w:val="20"/>
        </w:rPr>
        <w:t>) aplinkybe. Be to, santykiai su sankcionuotais asmenimis gali turėti reikš</w:t>
      </w:r>
      <w:r w:rsidR="005C649A">
        <w:rPr>
          <w:rFonts w:ascii="Arial" w:hAnsi="Arial" w:cs="Arial"/>
          <w:sz w:val="20"/>
          <w:szCs w:val="20"/>
        </w:rPr>
        <w:t>mės</w:t>
      </w:r>
      <w:r w:rsidRPr="007630CA">
        <w:rPr>
          <w:rFonts w:ascii="Arial" w:hAnsi="Arial" w:cs="Arial"/>
          <w:sz w:val="20"/>
          <w:szCs w:val="20"/>
        </w:rPr>
        <w:t xml:space="preserve"> Lietuvos verslui, veikiančiam Lietuvai strategiškai svarbiuose ūkio sektoriuose (</w:t>
      </w:r>
      <w:r w:rsidRPr="007630CA">
        <w:rPr>
          <w:rFonts w:ascii="Arial" w:hAnsi="Arial" w:cs="Arial"/>
          <w:color w:val="000000"/>
          <w:sz w:val="20"/>
          <w:szCs w:val="20"/>
        </w:rPr>
        <w:t>energetikos; transporto; informacinių technologijų ir telekomunikacijų, kitų aukštųjų technologijų; finansų ir kredito; karinės įrangos), o taip pat toms</w:t>
      </w:r>
      <w:r w:rsidR="005C649A">
        <w:rPr>
          <w:rFonts w:ascii="Arial" w:hAnsi="Arial" w:cs="Arial"/>
          <w:color w:val="000000"/>
          <w:sz w:val="20"/>
          <w:szCs w:val="20"/>
        </w:rPr>
        <w:t xml:space="preserve"> įmonėms</w:t>
      </w:r>
      <w:r w:rsidRPr="007630CA">
        <w:rPr>
          <w:rFonts w:ascii="Arial" w:hAnsi="Arial" w:cs="Arial"/>
          <w:color w:val="000000"/>
          <w:sz w:val="20"/>
          <w:szCs w:val="20"/>
        </w:rPr>
        <w:t xml:space="preserve">, kurių veikla reguliuojama </w:t>
      </w:r>
      <w:r w:rsidRPr="0076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Lietuvos Respublikos nacionaliniam saugumui užtikrinti svarbių objektų apsaugos įstatymu </w:t>
      </w:r>
      <w:hyperlink r:id="rId7" w:history="1">
        <w:r w:rsidRPr="007630C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https://www.e-tar.lt/portal/lt/legalAct/TAR.57E0E8B29108/asr</w:t>
        </w:r>
      </w:hyperlink>
      <w:r w:rsidRPr="0076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073C9C0" w14:textId="72A53C6A" w:rsidR="00717299" w:rsidRPr="007630CA" w:rsidRDefault="007630CA" w:rsidP="0009621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 </w:t>
      </w:r>
    </w:p>
    <w:p w14:paraId="0846ABC2" w14:textId="560DDA59" w:rsidR="00096218" w:rsidRPr="007630CA" w:rsidRDefault="00096218" w:rsidP="000962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Kol kas ES ar Lietuva nėra nustačiusi  jokių judėjimų sausuma (įskaitant geležinkeliu) apribojimų iš/į Rusijos Federaciją ar Baltarusiją. </w:t>
      </w:r>
      <w:r w:rsidRPr="007630CA">
        <w:rPr>
          <w:rFonts w:ascii="Arial" w:hAnsi="Arial" w:cs="Arial"/>
          <w:color w:val="000000"/>
          <w:sz w:val="20"/>
          <w:szCs w:val="20"/>
        </w:rPr>
        <w:t xml:space="preserve">2022 m. vasario 24 d. Nr. 1K-872 Prezidento dekretu, kuriuo Lietuvoje paskelbta nepaprastoji padėtis, nurodyta pasienio ruože taikyti sugriežtintą Lietuvos </w:t>
      </w:r>
      <w:r w:rsidRPr="007630CA">
        <w:rPr>
          <w:rFonts w:ascii="Arial" w:hAnsi="Arial" w:cs="Arial"/>
          <w:sz w:val="20"/>
          <w:szCs w:val="20"/>
        </w:rPr>
        <w:t xml:space="preserve">pasienio ruože transporto priemonių ir asmenų bei jų bagažo tikrinimą. </w:t>
      </w:r>
    </w:p>
    <w:p w14:paraId="343AF657" w14:textId="77777777" w:rsidR="00096218" w:rsidRPr="007630CA" w:rsidRDefault="00096218" w:rsidP="0009621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106C012" w14:textId="3E4FE299" w:rsidR="00717299" w:rsidRPr="007630CA" w:rsidRDefault="00717299" w:rsidP="000962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>Karas Ukrainoje gali būti pagrindu stabdyti įsipareigojimų vykdymą dėl nenugalimos jėgos (</w:t>
      </w:r>
      <w:r w:rsidRPr="007630CA">
        <w:rPr>
          <w:rFonts w:ascii="Arial" w:hAnsi="Arial" w:cs="Arial"/>
          <w:i/>
          <w:iCs/>
          <w:sz w:val="20"/>
          <w:szCs w:val="20"/>
        </w:rPr>
        <w:t>force majeure</w:t>
      </w:r>
      <w:r w:rsidRPr="007630CA">
        <w:rPr>
          <w:rFonts w:ascii="Arial" w:hAnsi="Arial" w:cs="Arial"/>
          <w:sz w:val="20"/>
          <w:szCs w:val="20"/>
        </w:rPr>
        <w:t>)</w:t>
      </w:r>
      <w:r w:rsidR="00973388" w:rsidRPr="007630CA">
        <w:rPr>
          <w:rFonts w:ascii="Arial" w:hAnsi="Arial" w:cs="Arial"/>
          <w:sz w:val="20"/>
          <w:szCs w:val="20"/>
        </w:rPr>
        <w:t xml:space="preserve"> aplinkybių</w:t>
      </w:r>
      <w:r w:rsidRPr="007630CA">
        <w:rPr>
          <w:rFonts w:ascii="Arial" w:hAnsi="Arial" w:cs="Arial"/>
          <w:sz w:val="20"/>
          <w:szCs w:val="20"/>
        </w:rPr>
        <w:t>, kai:</w:t>
      </w:r>
    </w:p>
    <w:p w14:paraId="0410828F" w14:textId="0A3AB469" w:rsidR="00717299" w:rsidRPr="007630CA" w:rsidRDefault="00717299" w:rsidP="000962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Sutartys sudarytos su Ukrainoje veikiančiais ir / ar veiklą vykdančiais subjektais ir objektyviai neįmanoma </w:t>
      </w:r>
      <w:r w:rsidR="005F0BB9" w:rsidRPr="007630CA">
        <w:rPr>
          <w:rFonts w:ascii="Arial" w:hAnsi="Arial" w:cs="Arial"/>
          <w:sz w:val="20"/>
          <w:szCs w:val="20"/>
        </w:rPr>
        <w:t>gauti</w:t>
      </w:r>
      <w:r w:rsidR="005C649A">
        <w:rPr>
          <w:rFonts w:ascii="Arial" w:hAnsi="Arial" w:cs="Arial"/>
          <w:sz w:val="20"/>
          <w:szCs w:val="20"/>
        </w:rPr>
        <w:t xml:space="preserve"> </w:t>
      </w:r>
      <w:r w:rsidR="005F0BB9" w:rsidRPr="007630CA">
        <w:rPr>
          <w:rFonts w:ascii="Arial" w:hAnsi="Arial" w:cs="Arial"/>
          <w:sz w:val="20"/>
          <w:szCs w:val="20"/>
        </w:rPr>
        <w:t>/</w:t>
      </w:r>
      <w:r w:rsidR="005C649A">
        <w:rPr>
          <w:rFonts w:ascii="Arial" w:hAnsi="Arial" w:cs="Arial"/>
          <w:sz w:val="20"/>
          <w:szCs w:val="20"/>
        </w:rPr>
        <w:t xml:space="preserve"> </w:t>
      </w:r>
      <w:r w:rsidR="005F0BB9" w:rsidRPr="007630CA">
        <w:rPr>
          <w:rFonts w:ascii="Arial" w:hAnsi="Arial" w:cs="Arial"/>
          <w:sz w:val="20"/>
          <w:szCs w:val="20"/>
        </w:rPr>
        <w:t>perduoti p</w:t>
      </w:r>
      <w:r w:rsidRPr="007630CA">
        <w:rPr>
          <w:rFonts w:ascii="Arial" w:hAnsi="Arial" w:cs="Arial"/>
          <w:sz w:val="20"/>
          <w:szCs w:val="20"/>
        </w:rPr>
        <w:t>rekių</w:t>
      </w:r>
      <w:r w:rsidR="005F0BB9" w:rsidRPr="007630CA">
        <w:rPr>
          <w:rFonts w:ascii="Arial" w:hAnsi="Arial" w:cs="Arial"/>
          <w:sz w:val="20"/>
          <w:szCs w:val="20"/>
        </w:rPr>
        <w:t xml:space="preserve"> ar p</w:t>
      </w:r>
      <w:r w:rsidR="005C649A">
        <w:rPr>
          <w:rFonts w:ascii="Arial" w:hAnsi="Arial" w:cs="Arial"/>
          <w:sz w:val="20"/>
          <w:szCs w:val="20"/>
        </w:rPr>
        <w:t>a</w:t>
      </w:r>
      <w:r w:rsidR="005F0BB9" w:rsidRPr="007630CA">
        <w:rPr>
          <w:rFonts w:ascii="Arial" w:hAnsi="Arial" w:cs="Arial"/>
          <w:sz w:val="20"/>
          <w:szCs w:val="20"/>
        </w:rPr>
        <w:t>slaugų (pažymėtina, kad mokėjimo atlikimams kol kas kliūčių nėra);</w:t>
      </w:r>
    </w:p>
    <w:p w14:paraId="3A41BDD1" w14:textId="24E8BB99" w:rsidR="00096218" w:rsidRPr="007630CA" w:rsidRDefault="005F0BB9" w:rsidP="000962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Sutartis sudaryta su Lietuvos </w:t>
      </w:r>
      <w:r w:rsidR="00973388" w:rsidRPr="007630CA">
        <w:rPr>
          <w:rFonts w:ascii="Arial" w:hAnsi="Arial" w:cs="Arial"/>
          <w:sz w:val="20"/>
          <w:szCs w:val="20"/>
        </w:rPr>
        <w:t>ar kitos trečios šalies subjektu, bet</w:t>
      </w:r>
      <w:r w:rsidRPr="007630CA">
        <w:rPr>
          <w:rFonts w:ascii="Arial" w:hAnsi="Arial" w:cs="Arial"/>
          <w:sz w:val="20"/>
          <w:szCs w:val="20"/>
        </w:rPr>
        <w:t xml:space="preserve"> yra susijusi </w:t>
      </w:r>
      <w:r w:rsidR="00717299" w:rsidRPr="007630CA">
        <w:rPr>
          <w:rFonts w:ascii="Arial" w:hAnsi="Arial" w:cs="Arial"/>
          <w:sz w:val="20"/>
          <w:szCs w:val="20"/>
        </w:rPr>
        <w:t>su Ukraina</w:t>
      </w:r>
      <w:r w:rsidRPr="007630CA">
        <w:rPr>
          <w:rFonts w:ascii="Arial" w:hAnsi="Arial" w:cs="Arial"/>
          <w:sz w:val="20"/>
          <w:szCs w:val="20"/>
        </w:rPr>
        <w:t xml:space="preserve"> (</w:t>
      </w:r>
      <w:r w:rsidR="00717299" w:rsidRPr="007630CA">
        <w:rPr>
          <w:rFonts w:ascii="Arial" w:hAnsi="Arial" w:cs="Arial"/>
          <w:sz w:val="20"/>
          <w:szCs w:val="20"/>
        </w:rPr>
        <w:t>gaunate iš ten žaliavas,</w:t>
      </w:r>
      <w:r w:rsidRPr="007630CA">
        <w:rPr>
          <w:rFonts w:ascii="Arial" w:hAnsi="Arial" w:cs="Arial"/>
          <w:sz w:val="20"/>
          <w:szCs w:val="20"/>
        </w:rPr>
        <w:t xml:space="preserve"> per ten vykdomi pervežimai iš kitų šalių), </w:t>
      </w:r>
      <w:r w:rsidRPr="007630CA">
        <w:rPr>
          <w:rFonts w:ascii="Arial" w:hAnsi="Arial" w:cs="Arial"/>
          <w:b/>
          <w:bCs/>
          <w:sz w:val="20"/>
          <w:szCs w:val="20"/>
        </w:rPr>
        <w:t>tačiau tik tuo atveju, kai tokia sąsaja yra nepakeičiama</w:t>
      </w:r>
      <w:r w:rsidRPr="007630CA">
        <w:rPr>
          <w:rFonts w:ascii="Arial" w:hAnsi="Arial" w:cs="Arial"/>
          <w:sz w:val="20"/>
          <w:szCs w:val="20"/>
        </w:rPr>
        <w:t>, t.y. – negalite gauti žaliavų, prekių</w:t>
      </w:r>
      <w:r w:rsidR="005C649A">
        <w:rPr>
          <w:rFonts w:ascii="Arial" w:hAnsi="Arial" w:cs="Arial"/>
          <w:sz w:val="20"/>
          <w:szCs w:val="20"/>
        </w:rPr>
        <w:t>,</w:t>
      </w:r>
      <w:r w:rsidRPr="007630CA">
        <w:rPr>
          <w:rFonts w:ascii="Arial" w:hAnsi="Arial" w:cs="Arial"/>
          <w:sz w:val="20"/>
          <w:szCs w:val="20"/>
        </w:rPr>
        <w:t xml:space="preserve"> etc. iš kitų šaltinių. Jei, pavyzdžiui, pirkote popierių iš Ukrainos, o dabar dėl karo iš ten jo pir</w:t>
      </w:r>
      <w:r w:rsidR="00096218" w:rsidRPr="007630CA">
        <w:rPr>
          <w:rFonts w:ascii="Arial" w:hAnsi="Arial" w:cs="Arial"/>
          <w:sz w:val="20"/>
          <w:szCs w:val="20"/>
        </w:rPr>
        <w:t>k</w:t>
      </w:r>
      <w:r w:rsidRPr="007630CA">
        <w:rPr>
          <w:rFonts w:ascii="Arial" w:hAnsi="Arial" w:cs="Arial"/>
          <w:sz w:val="20"/>
          <w:szCs w:val="20"/>
        </w:rPr>
        <w:t xml:space="preserve">ti negalite, tačiau galite pirkti iš </w:t>
      </w:r>
      <w:r w:rsidR="00096218" w:rsidRPr="007630CA">
        <w:rPr>
          <w:rFonts w:ascii="Arial" w:hAnsi="Arial" w:cs="Arial"/>
          <w:sz w:val="20"/>
          <w:szCs w:val="20"/>
        </w:rPr>
        <w:t xml:space="preserve">bet kurios kitos šalies (kad ir daug brangiau), tai nėra laikoma </w:t>
      </w:r>
      <w:r w:rsidR="00096218" w:rsidRPr="007630CA">
        <w:rPr>
          <w:rFonts w:ascii="Arial" w:hAnsi="Arial" w:cs="Arial"/>
          <w:i/>
          <w:iCs/>
          <w:sz w:val="20"/>
          <w:szCs w:val="20"/>
        </w:rPr>
        <w:t>force majeure</w:t>
      </w:r>
      <w:r w:rsidR="00096218" w:rsidRPr="007630CA">
        <w:rPr>
          <w:rFonts w:ascii="Arial" w:hAnsi="Arial" w:cs="Arial"/>
          <w:sz w:val="20"/>
          <w:szCs w:val="20"/>
        </w:rPr>
        <w:t xml:space="preserve">. </w:t>
      </w:r>
      <w:r w:rsidR="00096218" w:rsidRPr="009B6F9D">
        <w:rPr>
          <w:rFonts w:ascii="Arial" w:hAnsi="Arial" w:cs="Arial"/>
          <w:b/>
          <w:bCs/>
          <w:sz w:val="20"/>
          <w:szCs w:val="20"/>
        </w:rPr>
        <w:t>Esminiai kainų pokyčiai dėl vykstančio karo gali sudaryti pagrindą reikalauti sutarties pakeitimo ar jos nutraukimo</w:t>
      </w:r>
      <w:r w:rsidR="00FD398D" w:rsidRPr="007630CA">
        <w:rPr>
          <w:rFonts w:ascii="Arial" w:hAnsi="Arial" w:cs="Arial"/>
          <w:sz w:val="20"/>
          <w:szCs w:val="20"/>
        </w:rPr>
        <w:t xml:space="preserve"> </w:t>
      </w:r>
      <w:r w:rsidR="009B6F9D">
        <w:rPr>
          <w:rFonts w:ascii="Arial" w:hAnsi="Arial" w:cs="Arial"/>
          <w:sz w:val="20"/>
          <w:szCs w:val="20"/>
        </w:rPr>
        <w:t>(nepavykus susitarti sutartį keičia ar nutraukia teismas)</w:t>
      </w:r>
      <w:r w:rsidR="00096218" w:rsidRPr="007630CA">
        <w:rPr>
          <w:rFonts w:ascii="Arial" w:hAnsi="Arial" w:cs="Arial"/>
          <w:sz w:val="20"/>
          <w:szCs w:val="20"/>
        </w:rPr>
        <w:t>, tačiau įsipareigojimų v</w:t>
      </w:r>
      <w:r w:rsidR="00FD398D" w:rsidRPr="007630CA">
        <w:rPr>
          <w:rFonts w:ascii="Arial" w:hAnsi="Arial" w:cs="Arial"/>
          <w:sz w:val="20"/>
          <w:szCs w:val="20"/>
        </w:rPr>
        <w:t xml:space="preserve">ykdymų </w:t>
      </w:r>
      <w:r w:rsidR="00FD398D" w:rsidRPr="007630CA">
        <w:rPr>
          <w:rFonts w:ascii="Arial" w:hAnsi="Arial" w:cs="Arial"/>
          <w:i/>
          <w:iCs/>
          <w:sz w:val="20"/>
          <w:szCs w:val="20"/>
        </w:rPr>
        <w:t xml:space="preserve">savaime </w:t>
      </w:r>
      <w:r w:rsidR="00FD398D" w:rsidRPr="007630CA">
        <w:rPr>
          <w:rFonts w:ascii="Arial" w:hAnsi="Arial" w:cs="Arial"/>
          <w:sz w:val="20"/>
          <w:szCs w:val="20"/>
        </w:rPr>
        <w:t>nestabdo</w:t>
      </w:r>
      <w:r w:rsidR="00096218" w:rsidRPr="007630CA">
        <w:rPr>
          <w:rFonts w:ascii="Arial" w:hAnsi="Arial" w:cs="Arial"/>
          <w:sz w:val="20"/>
          <w:szCs w:val="20"/>
        </w:rPr>
        <w:t xml:space="preserve"> (Lietuvos Respublikos CK 6.204 str.)</w:t>
      </w:r>
      <w:r w:rsidR="009B6F9D">
        <w:rPr>
          <w:rFonts w:ascii="Arial" w:hAnsi="Arial" w:cs="Arial"/>
          <w:sz w:val="20"/>
          <w:szCs w:val="20"/>
        </w:rPr>
        <w:t>.</w:t>
      </w:r>
    </w:p>
    <w:p w14:paraId="17803BAF" w14:textId="77777777" w:rsidR="0061494C" w:rsidRPr="007630CA" w:rsidRDefault="0061494C" w:rsidP="0061494C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591BFA66" w14:textId="5974EEF4" w:rsidR="0061494C" w:rsidRPr="007630CA" w:rsidRDefault="00096218" w:rsidP="000962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30CA">
        <w:rPr>
          <w:rFonts w:ascii="Arial" w:hAnsi="Arial" w:cs="Arial"/>
          <w:sz w:val="20"/>
          <w:szCs w:val="20"/>
        </w:rPr>
        <w:t xml:space="preserve">Jei </w:t>
      </w:r>
      <w:r w:rsidR="00FD398D" w:rsidRPr="007630CA">
        <w:rPr>
          <w:rFonts w:ascii="Arial" w:hAnsi="Arial" w:cs="Arial"/>
          <w:sz w:val="20"/>
          <w:szCs w:val="20"/>
        </w:rPr>
        <w:t xml:space="preserve">sudarytos sutarties negalite vykdyti dėl force majeure aplinkybių, </w:t>
      </w:r>
      <w:r w:rsidR="00FD398D" w:rsidRPr="007630CA">
        <w:rPr>
          <w:rFonts w:ascii="Arial" w:hAnsi="Arial" w:cs="Arial"/>
          <w:b/>
          <w:bCs/>
          <w:sz w:val="20"/>
          <w:szCs w:val="20"/>
        </w:rPr>
        <w:t>b</w:t>
      </w:r>
      <w:r w:rsidR="00973388" w:rsidRPr="007630CA">
        <w:rPr>
          <w:rFonts w:ascii="Arial" w:hAnsi="Arial" w:cs="Arial"/>
          <w:b/>
          <w:bCs/>
          <w:sz w:val="20"/>
          <w:szCs w:val="20"/>
        </w:rPr>
        <w:t>ū</w:t>
      </w:r>
      <w:r w:rsidR="00FD398D" w:rsidRPr="007630CA">
        <w:rPr>
          <w:rFonts w:ascii="Arial" w:hAnsi="Arial" w:cs="Arial"/>
          <w:b/>
          <w:bCs/>
          <w:sz w:val="20"/>
          <w:szCs w:val="20"/>
        </w:rPr>
        <w:t>tinai nedelsdami apie tai ra</w:t>
      </w:r>
      <w:r w:rsidR="00FD398D" w:rsidRPr="007630CA">
        <w:rPr>
          <w:rFonts w:ascii="Arial" w:hAnsi="Arial" w:cs="Arial"/>
          <w:b/>
          <w:bCs/>
          <w:sz w:val="20"/>
          <w:szCs w:val="20"/>
          <w:lang w:val="en-US"/>
        </w:rPr>
        <w:t>š</w:t>
      </w:r>
      <w:r w:rsidR="00FD398D" w:rsidRPr="007630CA">
        <w:rPr>
          <w:rFonts w:ascii="Arial" w:hAnsi="Arial" w:cs="Arial"/>
          <w:b/>
          <w:bCs/>
          <w:sz w:val="20"/>
          <w:szCs w:val="20"/>
        </w:rPr>
        <w:t>tu informuokite kitą sutarties šalį</w:t>
      </w:r>
      <w:r w:rsidR="00FD398D" w:rsidRPr="007630CA">
        <w:rPr>
          <w:rFonts w:ascii="Arial" w:hAnsi="Arial" w:cs="Arial"/>
          <w:sz w:val="20"/>
          <w:szCs w:val="20"/>
        </w:rPr>
        <w:t>. Pažym</w:t>
      </w:r>
      <w:r w:rsidR="00973388" w:rsidRPr="007630CA">
        <w:rPr>
          <w:rFonts w:ascii="Arial" w:hAnsi="Arial" w:cs="Arial"/>
          <w:sz w:val="20"/>
          <w:szCs w:val="20"/>
        </w:rPr>
        <w:t>a</w:t>
      </w:r>
      <w:r w:rsidR="00FD398D" w:rsidRPr="007630CA">
        <w:rPr>
          <w:rFonts w:ascii="Arial" w:hAnsi="Arial" w:cs="Arial"/>
          <w:sz w:val="20"/>
          <w:szCs w:val="20"/>
        </w:rPr>
        <w:t xml:space="preserve">s apie tai, kad konkrečios sutarties negalima vykdyti dėl nenugalimos jėgos aplinkybių, išduoda regioniniai Lietuvos </w:t>
      </w:r>
      <w:r w:rsidR="0061494C" w:rsidRPr="007630CA">
        <w:rPr>
          <w:rFonts w:ascii="Arial" w:hAnsi="Arial" w:cs="Arial"/>
          <w:sz w:val="20"/>
          <w:szCs w:val="20"/>
        </w:rPr>
        <w:t xml:space="preserve">prekybos, pramonės ir amatų rūmai </w:t>
      </w:r>
      <w:hyperlink r:id="rId8" w:history="1">
        <w:r w:rsidR="0061494C" w:rsidRPr="007630CA">
          <w:rPr>
            <w:rStyle w:val="Hyperlink"/>
            <w:rFonts w:ascii="Arial" w:hAnsi="Arial" w:cs="Arial"/>
            <w:sz w:val="20"/>
            <w:szCs w:val="20"/>
          </w:rPr>
          <w:t>https://www.chambers.lt/</w:t>
        </w:r>
      </w:hyperlink>
      <w:r w:rsidR="00973388" w:rsidRPr="007630CA">
        <w:rPr>
          <w:rFonts w:ascii="Arial" w:hAnsi="Arial" w:cs="Arial"/>
          <w:sz w:val="20"/>
          <w:szCs w:val="20"/>
        </w:rPr>
        <w:t>. Čia yra nuoroda į</w:t>
      </w:r>
      <w:r w:rsidR="0061494C" w:rsidRPr="007630CA">
        <w:rPr>
          <w:rFonts w:ascii="Arial" w:hAnsi="Arial" w:cs="Arial"/>
          <w:sz w:val="20"/>
          <w:szCs w:val="20"/>
        </w:rPr>
        <w:t xml:space="preserve"> Vilniaus prekybos, pramonės ir amatų rūm</w:t>
      </w:r>
      <w:r w:rsidR="00973388" w:rsidRPr="007630CA">
        <w:rPr>
          <w:rFonts w:ascii="Arial" w:hAnsi="Arial" w:cs="Arial"/>
          <w:sz w:val="20"/>
          <w:szCs w:val="20"/>
        </w:rPr>
        <w:t>us</w:t>
      </w:r>
      <w:r w:rsidR="0061494C" w:rsidRPr="007630C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494C" w:rsidRPr="007630CA">
          <w:rPr>
            <w:rStyle w:val="Hyperlink"/>
            <w:rFonts w:ascii="Arial" w:hAnsi="Arial" w:cs="Arial"/>
            <w:sz w:val="20"/>
            <w:szCs w:val="20"/>
          </w:rPr>
          <w:t>https://www.cci.lt/paslaugos/uzsienio-prekybos-dokumentai/</w:t>
        </w:r>
      </w:hyperlink>
    </w:p>
    <w:p w14:paraId="716AD72F" w14:textId="77777777" w:rsidR="0061494C" w:rsidRPr="007630CA" w:rsidRDefault="0061494C" w:rsidP="0061494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56A021D" w14:textId="77777777" w:rsidR="0061494C" w:rsidRPr="007630CA" w:rsidRDefault="0061494C" w:rsidP="00FD398D">
      <w:pPr>
        <w:jc w:val="both"/>
        <w:rPr>
          <w:rFonts w:ascii="Arial" w:hAnsi="Arial" w:cs="Arial"/>
          <w:sz w:val="20"/>
          <w:szCs w:val="20"/>
        </w:rPr>
      </w:pPr>
    </w:p>
    <w:p w14:paraId="28A1CE03" w14:textId="77777777" w:rsidR="00096218" w:rsidRDefault="00096218" w:rsidP="00717299">
      <w:pPr>
        <w:pStyle w:val="ListParagraph"/>
      </w:pPr>
    </w:p>
    <w:p w14:paraId="27D7DBC4" w14:textId="5BC8E541" w:rsidR="00717299" w:rsidRDefault="005F0BB9" w:rsidP="00717299">
      <w:pPr>
        <w:pStyle w:val="ListParagraph"/>
      </w:pPr>
      <w:r>
        <w:t xml:space="preserve">  </w:t>
      </w:r>
      <w:r w:rsidR="00717299">
        <w:t xml:space="preserve">   </w:t>
      </w:r>
    </w:p>
    <w:p w14:paraId="167BB7B4" w14:textId="77777777" w:rsidR="005F0BB9" w:rsidRDefault="005F0BB9" w:rsidP="00717299">
      <w:pPr>
        <w:pStyle w:val="ListParagraph"/>
      </w:pPr>
    </w:p>
    <w:p w14:paraId="403DB741" w14:textId="77777777" w:rsidR="00C07A59" w:rsidRDefault="009B6F9D"/>
    <w:sectPr w:rsidR="00C07A59" w:rsidSect="00FC2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B4B"/>
    <w:multiLevelType w:val="hybridMultilevel"/>
    <w:tmpl w:val="5F4C7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B5B"/>
    <w:multiLevelType w:val="hybridMultilevel"/>
    <w:tmpl w:val="DBFC0D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74EB"/>
    <w:multiLevelType w:val="hybridMultilevel"/>
    <w:tmpl w:val="6BC03B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F"/>
    <w:rsid w:val="00096218"/>
    <w:rsid w:val="001C0BBF"/>
    <w:rsid w:val="002B17BF"/>
    <w:rsid w:val="003378A9"/>
    <w:rsid w:val="00362D31"/>
    <w:rsid w:val="004C275D"/>
    <w:rsid w:val="005507DA"/>
    <w:rsid w:val="005C649A"/>
    <w:rsid w:val="005F0BB9"/>
    <w:rsid w:val="0061494C"/>
    <w:rsid w:val="00717299"/>
    <w:rsid w:val="00741693"/>
    <w:rsid w:val="007630CA"/>
    <w:rsid w:val="00834612"/>
    <w:rsid w:val="008918C9"/>
    <w:rsid w:val="008A7C04"/>
    <w:rsid w:val="00973388"/>
    <w:rsid w:val="009B6F9D"/>
    <w:rsid w:val="00A163EA"/>
    <w:rsid w:val="00D433FF"/>
    <w:rsid w:val="00EC5BF3"/>
    <w:rsid w:val="00FC2EED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C85"/>
  <w15:chartTrackingRefBased/>
  <w15:docId w15:val="{D145CF4D-A27C-4435-9883-FEE381B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FF"/>
    <w:pPr>
      <w:ind w:left="720"/>
    </w:pPr>
  </w:style>
  <w:style w:type="character" w:styleId="Hyperlink">
    <w:name w:val="Hyperlink"/>
    <w:basedOn w:val="DefaultParagraphFont"/>
    <w:uiPriority w:val="99"/>
    <w:unhideWhenUsed/>
    <w:rsid w:val="00D433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8C9"/>
    <w:rPr>
      <w:color w:val="605E5C"/>
      <w:shd w:val="clear" w:color="auto" w:fill="E1DFDD"/>
    </w:rPr>
  </w:style>
  <w:style w:type="paragraph" w:customStyle="1" w:styleId="tajtip">
    <w:name w:val="tajtip"/>
    <w:basedOn w:val="Normal"/>
    <w:rsid w:val="007630C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mbers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5.safelinks.protection.outlook.com/?url=https%3A%2F%2Fwww.e-tar.lt%2Fportal%2Flt%2FlegalAct%2FTAR.57E0E8B29108%2Fasr&amp;data=04%7C01%7Cd.filonoviene%40wint.lt%7C5165d798f0c1443dbf6c08d9f87d3f8b%7C1b44d07e361a47849c7f522f589f29e6%7C0%7C0%7C637814039093348335%7CUnknown%7CTWFpbGZsb3d8eyJWIjoiMC4wLjAwMDAiLCJQIjoiV2luMzIiLCJBTiI6Ik1haWwiLCJXVCI6Mn0%3D%7C3000&amp;sdata=PooqLhB51659%2BXb14bvP31tRUWLKkz17zxjAC8JfHh8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ilium.europa.eu/lt/policies/sanctions/restrictive-measures-ukraine-cris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i.lt/paslaugos/uzsienio-prekybos-dokument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B235-46C7-4A08-844C-E228C82D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Ušinskaitė-Filonovienė</dc:creator>
  <cp:keywords/>
  <dc:description/>
  <cp:lastModifiedBy>Daiva Ušinskaitė-Filonovienė</cp:lastModifiedBy>
  <cp:revision>2</cp:revision>
  <dcterms:created xsi:type="dcterms:W3CDTF">2022-03-09T09:42:00Z</dcterms:created>
  <dcterms:modified xsi:type="dcterms:W3CDTF">2022-03-09T09:42:00Z</dcterms:modified>
</cp:coreProperties>
</file>